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jc w:val="center"/>
      </w:pPr>
      <w:r>
        <w:drawing xmlns:a="http://schemas.openxmlformats.org/drawingml/2006/main">
          <wp:inline distT="0" distB="0" distL="0" distR="0">
            <wp:extent cx="2217600" cy="1436401"/>
            <wp:effectExtent l="0" t="0" r="0" b="0"/>
            <wp:docPr id="1073741825" name="officeArt object" descr="Immagine che contiene testo, Carattere, simbolo, bianc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, Carattere, simbolo, biancoDescrizione generata automaticamente" descr="Immagine che contiene testo, Carattere, simbolo, bianco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600" cy="14364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/>
        <w:jc w:val="both"/>
        <w:rPr>
          <w:rFonts w:ascii="Garamond" w:hAnsi="Garamond"/>
          <w:i w:val="1"/>
          <w:iCs w:val="1"/>
          <w:sz w:val="28"/>
          <w:szCs w:val="28"/>
        </w:rPr>
      </w:pPr>
    </w:p>
    <w:p>
      <w:pPr>
        <w:pStyle w:val="Normal.0"/>
        <w:spacing w:after="0"/>
        <w:jc w:val="center"/>
        <w:rPr>
          <w:rFonts w:ascii="Garamond" w:hAnsi="Garamond"/>
          <w:sz w:val="28"/>
          <w:szCs w:val="28"/>
          <w:u w:val="single"/>
        </w:rPr>
      </w:pPr>
    </w:p>
    <w:p>
      <w:pPr>
        <w:pStyle w:val="Normal.0"/>
        <w:spacing w:after="0"/>
        <w:jc w:val="center"/>
        <w:rPr>
          <w:rFonts w:ascii="Garamond" w:cs="Garamond" w:hAnsi="Garamond" w:eastAsia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  <w:u w:val="single"/>
          <w:rtl w:val="0"/>
          <w:lang w:val="it-IT"/>
        </w:rPr>
        <w:t>Comunicato stampa</w:t>
      </w:r>
    </w:p>
    <w:p>
      <w:pPr>
        <w:pStyle w:val="Normal.0"/>
        <w:spacing w:after="0"/>
        <w:jc w:val="center"/>
        <w:rPr>
          <w:rFonts w:ascii="Garamond" w:cs="Garamond" w:hAnsi="Garamond" w:eastAsia="Garamond"/>
          <w:i w:val="1"/>
          <w:iCs w:val="1"/>
          <w:sz w:val="28"/>
          <w:szCs w:val="28"/>
        </w:rPr>
      </w:pPr>
    </w:p>
    <w:p>
      <w:pPr>
        <w:pStyle w:val="Normal.0"/>
        <w:spacing w:after="0"/>
        <w:jc w:val="center"/>
        <w:rPr>
          <w:rFonts w:ascii="Garamond" w:cs="Garamond" w:hAnsi="Garamond" w:eastAsia="Garamond"/>
          <w:b w:val="1"/>
          <w:bCs w:val="1"/>
          <w:sz w:val="28"/>
          <w:szCs w:val="28"/>
        </w:rPr>
      </w:pPr>
    </w:p>
    <w:p>
      <w:pPr>
        <w:pStyle w:val="Normal.0"/>
        <w:spacing w:after="0"/>
        <w:jc w:val="center"/>
        <w:rPr>
          <w:rFonts w:ascii="Garamond" w:cs="Garamond" w:hAnsi="Garamond" w:eastAsia="Garamond"/>
          <w:b w:val="1"/>
          <w:bCs w:val="1"/>
          <w:sz w:val="28"/>
          <w:szCs w:val="28"/>
        </w:rPr>
      </w:pPr>
    </w:p>
    <w:p>
      <w:pPr>
        <w:pStyle w:val="Normal.0"/>
        <w:spacing w:after="0"/>
        <w:jc w:val="center"/>
        <w:rPr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Fusione per incorporazione Fondazione di Lugo</w:t>
      </w:r>
    </w:p>
    <w:p>
      <w:pPr>
        <w:pStyle w:val="Normal.0"/>
        <w:spacing w:after="0"/>
        <w:jc w:val="center"/>
        <w:rPr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nella Fondazione del Monte di Bologna e Ravenna</w:t>
      </w:r>
    </w:p>
    <w:p>
      <w:pPr>
        <w:pStyle w:val="Normal.0"/>
        <w:spacing w:after="0"/>
        <w:jc w:val="center"/>
        <w:rPr>
          <w:rFonts w:ascii="Garamond" w:cs="Garamond" w:hAnsi="Garamond" w:eastAsia="Garamond"/>
          <w:b w:val="1"/>
          <w:bCs w:val="1"/>
          <w:sz w:val="28"/>
          <w:szCs w:val="28"/>
        </w:rPr>
      </w:pPr>
    </w:p>
    <w:p>
      <w:pPr>
        <w:pStyle w:val="Normal.0"/>
        <w:spacing w:after="0"/>
        <w:jc w:val="both"/>
        <w:rPr>
          <w:rFonts w:ascii="Garamond" w:cs="Garamond" w:hAnsi="Garamond" w:eastAsia="Garamond"/>
          <w:i w:val="1"/>
          <w:iCs w:val="1"/>
          <w:sz w:val="28"/>
          <w:szCs w:val="28"/>
        </w:rPr>
      </w:pPr>
    </w:p>
    <w:p>
      <w:pPr>
        <w:pStyle w:val="Normal.0"/>
        <w:spacing w:after="0"/>
        <w:jc w:val="both"/>
        <w:rPr>
          <w:rFonts w:ascii="Garamond" w:cs="Garamond" w:hAnsi="Garamond" w:eastAsia="Garamond"/>
          <w:i w:val="1"/>
          <w:iCs w:val="1"/>
          <w:sz w:val="28"/>
          <w:szCs w:val="28"/>
        </w:rPr>
      </w:pPr>
    </w:p>
    <w:p>
      <w:pPr>
        <w:pStyle w:val="Normal.0"/>
        <w:spacing w:after="0"/>
        <w:jc w:val="both"/>
        <w:rPr>
          <w:rFonts w:ascii="Garamond" w:cs="Garamond" w:hAnsi="Garamond" w:eastAsia="Garamond"/>
          <w:i w:val="1"/>
          <w:iCs w:val="1"/>
          <w:sz w:val="28"/>
          <w:szCs w:val="28"/>
        </w:rPr>
      </w:pPr>
    </w:p>
    <w:p>
      <w:pPr>
        <w:pStyle w:val="Normal.0"/>
        <w:spacing w:after="0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i w:val="1"/>
          <w:iCs w:val="1"/>
          <w:sz w:val="28"/>
          <w:szCs w:val="28"/>
          <w:rtl w:val="0"/>
          <w:lang w:val="it-IT"/>
        </w:rPr>
        <w:t>Bologna, 28 giugno 2024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 – 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Si 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è 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concluso il percorso che porta alla </w:t>
      </w:r>
      <w:r>
        <w:rPr>
          <w:rFonts w:ascii="Garamond" w:hAnsi="Garamond" w:hint="default"/>
          <w:b w:val="1"/>
          <w:bCs w:val="1"/>
          <w:sz w:val="28"/>
          <w:szCs w:val="28"/>
          <w:rtl w:val="0"/>
          <w:lang w:val="it-IT"/>
        </w:rPr>
        <w:t>«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fusione per incorporazione</w:t>
      </w:r>
      <w:r>
        <w:rPr>
          <w:rFonts w:ascii="Garamond" w:hAnsi="Garamond" w:hint="default"/>
          <w:b w:val="1"/>
          <w:bCs w:val="1"/>
          <w:sz w:val="28"/>
          <w:szCs w:val="28"/>
          <w:rtl w:val="0"/>
          <w:lang w:val="it-IT"/>
        </w:rPr>
        <w:t xml:space="preserve">» 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d</w:t>
      </w:r>
      <w:r>
        <w:rPr>
          <w:rFonts w:ascii="Garamond" w:hAnsi="Garamond"/>
          <w:b w:val="1"/>
          <w:bCs w:val="1"/>
          <w:outline w:val="0"/>
          <w:color w:val="212529"/>
          <w:spacing w:val="5"/>
          <w:sz w:val="28"/>
          <w:szCs w:val="28"/>
          <w:u w:color="212529"/>
          <w:shd w:val="clear" w:color="auto" w:fill="ffffff"/>
          <w:rtl w:val="0"/>
          <w:lang w:val="it-IT"/>
          <w14:textFill>
            <w14:solidFill>
              <w14:srgbClr w14:val="212529"/>
            </w14:solidFill>
          </w14:textFill>
        </w:rPr>
        <w:t>ella Fondazione Cassa di Risparmio e Banca del Monte di Lugo nella Fondazione Banca del Monte di Bologna e Ravenna</w:t>
      </w:r>
      <w:r>
        <w:rPr>
          <w:rFonts w:ascii="Garamond" w:hAnsi="Garamond"/>
          <w:outline w:val="0"/>
          <w:color w:val="212529"/>
          <w:spacing w:val="5"/>
          <w:sz w:val="28"/>
          <w:szCs w:val="28"/>
          <w:u w:color="212529"/>
          <w:shd w:val="clear" w:color="auto" w:fill="ffffff"/>
          <w:rtl w:val="0"/>
          <w:lang w:val="it-IT"/>
          <w14:textFill>
            <w14:solidFill>
              <w14:srgbClr w14:val="212529"/>
            </w14:solidFill>
          </w14:textFill>
        </w:rPr>
        <w:t>. F</w:t>
      </w:r>
      <w:r>
        <w:rPr>
          <w:rFonts w:ascii="Garamond" w:hAnsi="Garamond"/>
          <w:sz w:val="28"/>
          <w:szCs w:val="28"/>
          <w:rtl w:val="0"/>
          <w:lang w:val="it-IT"/>
        </w:rPr>
        <w:t>atte salve le autorizzazioni dell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>autorit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à </w:t>
      </w:r>
      <w:r>
        <w:rPr>
          <w:rFonts w:ascii="Garamond" w:hAnsi="Garamond"/>
          <w:sz w:val="28"/>
          <w:szCs w:val="28"/>
          <w:rtl w:val="0"/>
          <w:lang w:val="it-IT"/>
        </w:rPr>
        <w:t>vigilante, l</w:t>
      </w:r>
      <w:r>
        <w:rPr>
          <w:rFonts w:ascii="Garamond" w:hAnsi="Garamond" w:hint="default"/>
          <w:outline w:val="0"/>
          <w:color w:val="212529"/>
          <w:spacing w:val="5"/>
          <w:sz w:val="28"/>
          <w:szCs w:val="28"/>
          <w:u w:color="212529"/>
          <w:shd w:val="clear" w:color="auto" w:fill="ffffff"/>
          <w:rtl w:val="0"/>
          <w:lang w:val="it-IT"/>
          <w14:textFill>
            <w14:solidFill>
              <w14:srgbClr w14:val="212529"/>
            </w14:solidFill>
          </w14:textFill>
        </w:rPr>
        <w:t>’</w:t>
      </w:r>
      <w:r>
        <w:rPr>
          <w:rFonts w:ascii="Garamond" w:hAnsi="Garamond"/>
          <w:outline w:val="0"/>
          <w:color w:val="212529"/>
          <w:spacing w:val="5"/>
          <w:sz w:val="28"/>
          <w:szCs w:val="28"/>
          <w:u w:color="212529"/>
          <w:shd w:val="clear" w:color="auto" w:fill="ffffff"/>
          <w:rtl w:val="0"/>
          <w:lang w:val="it-IT"/>
          <w14:textFill>
            <w14:solidFill>
              <w14:srgbClr w14:val="212529"/>
            </w14:solidFill>
          </w14:textFill>
        </w:rPr>
        <w:t xml:space="preserve">esecuzione </w:t>
      </w:r>
      <w:r>
        <w:rPr>
          <w:rFonts w:ascii="Garamond" w:hAnsi="Garamond" w:hint="default"/>
          <w:outline w:val="0"/>
          <w:color w:val="212529"/>
          <w:spacing w:val="5"/>
          <w:sz w:val="28"/>
          <w:szCs w:val="28"/>
          <w:u w:color="212529"/>
          <w:shd w:val="clear" w:color="auto" w:fill="ffffff"/>
          <w:rtl w:val="0"/>
          <w:lang w:val="it-IT"/>
          <w14:textFill>
            <w14:solidFill>
              <w14:srgbClr w14:val="212529"/>
            </w14:solidFill>
          </w14:textFill>
        </w:rPr>
        <w:t xml:space="preserve">– </w:t>
      </w:r>
      <w:r>
        <w:rPr>
          <w:rFonts w:ascii="Garamond" w:hAnsi="Garamond"/>
          <w:outline w:val="0"/>
          <w:color w:val="212529"/>
          <w:spacing w:val="5"/>
          <w:sz w:val="28"/>
          <w:szCs w:val="28"/>
          <w:u w:color="212529"/>
          <w:shd w:val="clear" w:color="auto" w:fill="ffffff"/>
          <w:rtl w:val="0"/>
          <w:lang w:val="it-IT"/>
          <w14:textFill>
            <w14:solidFill>
              <w14:srgbClr w14:val="212529"/>
            </w14:solidFill>
          </w14:textFill>
        </w:rPr>
        <w:t xml:space="preserve">con </w:t>
      </w:r>
      <w:r>
        <w:rPr>
          <w:rFonts w:ascii="Garamond" w:hAnsi="Garamond"/>
          <w:sz w:val="28"/>
          <w:szCs w:val="28"/>
          <w:rtl w:val="0"/>
          <w:lang w:val="it-IT"/>
        </w:rPr>
        <w:t>la stipula dell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Atto pubblico di fusione 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– è </w:t>
      </w:r>
      <w:r>
        <w:rPr>
          <w:rFonts w:ascii="Garamond" w:hAnsi="Garamond"/>
          <w:outline w:val="0"/>
          <w:color w:val="474747"/>
          <w:sz w:val="28"/>
          <w:szCs w:val="28"/>
          <w:u w:color="474747"/>
          <w:shd w:val="clear" w:color="auto" w:fill="ffffff"/>
          <w:rtl w:val="0"/>
          <w:lang w:val="it-IT"/>
          <w14:textFill>
            <w14:solidFill>
              <w14:srgbClr w14:val="474747"/>
            </w14:solidFill>
          </w14:textFill>
        </w:rPr>
        <w:t>p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revista 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entro settembre 2024</w:t>
      </w:r>
      <w:r>
        <w:rPr>
          <w:rFonts w:ascii="Garamond" w:hAnsi="Garamond"/>
          <w:sz w:val="28"/>
          <w:szCs w:val="28"/>
          <w:rtl w:val="0"/>
          <w:lang w:val="it-IT"/>
        </w:rPr>
        <w:t>.</w:t>
      </w:r>
    </w:p>
    <w:p>
      <w:pPr>
        <w:pStyle w:val="Normal.0"/>
        <w:spacing w:after="0"/>
        <w:jc w:val="both"/>
        <w:rPr>
          <w:rFonts w:ascii="Roboto" w:cs="Roboto" w:hAnsi="Roboto" w:eastAsia="Roboto"/>
          <w:outline w:val="0"/>
          <w:color w:val="212529"/>
          <w:spacing w:val="5"/>
          <w:sz w:val="27"/>
          <w:szCs w:val="27"/>
          <w:u w:color="212529"/>
          <w:shd w:val="clear" w:color="auto" w:fill="ffffff"/>
          <w14:textFill>
            <w14:solidFill>
              <w14:srgbClr w14:val="212529"/>
            </w14:solidFill>
          </w14:textFill>
        </w:rPr>
      </w:pPr>
      <w:r>
        <w:rPr>
          <w:rFonts w:ascii="Garamond" w:hAnsi="Garamond"/>
          <w:sz w:val="28"/>
          <w:szCs w:val="28"/>
          <w:rtl w:val="0"/>
          <w:lang w:val="it-IT"/>
        </w:rPr>
        <w:t>L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>operazione sar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à </w:t>
      </w:r>
      <w:r>
        <w:rPr>
          <w:rFonts w:ascii="Garamond" w:hAnsi="Garamond"/>
          <w:sz w:val="28"/>
          <w:szCs w:val="28"/>
          <w:rtl w:val="0"/>
          <w:lang w:val="it-IT"/>
        </w:rPr>
        <w:t>l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atto iniziale di un iter grazie al quale entrambi i territori di riferimento troveranno espressione nei settori fondamentali di intervento della Fondazione del Monte di Bologna e Ravenna: </w:t>
      </w:r>
      <w:r>
        <w:rPr>
          <w:rFonts w:ascii="Garamond" w:hAnsi="Garamond"/>
          <w:b w:val="1"/>
          <w:bCs w:val="1"/>
          <w:outline w:val="0"/>
          <w:color w:val="212529"/>
          <w:spacing w:val="5"/>
          <w:sz w:val="28"/>
          <w:szCs w:val="28"/>
          <w:u w:color="212529"/>
          <w:shd w:val="clear" w:color="auto" w:fill="ffffff"/>
          <w:rtl w:val="0"/>
          <w:lang w:val="it-IT"/>
          <w14:textFill>
            <w14:solidFill>
              <w14:srgbClr w14:val="212529"/>
            </w14:solidFill>
          </w14:textFill>
        </w:rPr>
        <w:t>cultura</w:t>
      </w:r>
      <w:r>
        <w:rPr>
          <w:rFonts w:ascii="Garamond" w:hAnsi="Garamond"/>
          <w:outline w:val="0"/>
          <w:color w:val="212529"/>
          <w:spacing w:val="5"/>
          <w:sz w:val="28"/>
          <w:szCs w:val="28"/>
          <w:u w:color="212529"/>
          <w:shd w:val="clear" w:color="auto" w:fill="ffffff"/>
          <w:rtl w:val="0"/>
          <w:lang w:val="it-IT"/>
          <w14:textFill>
            <w14:solidFill>
              <w14:srgbClr w14:val="212529"/>
            </w14:solidFill>
          </w14:textFill>
        </w:rPr>
        <w:t xml:space="preserve">, </w:t>
      </w:r>
      <w:r>
        <w:rPr>
          <w:rFonts w:ascii="Garamond" w:hAnsi="Garamond"/>
          <w:b w:val="1"/>
          <w:bCs w:val="1"/>
          <w:outline w:val="0"/>
          <w:color w:val="212529"/>
          <w:spacing w:val="5"/>
          <w:sz w:val="28"/>
          <w:szCs w:val="28"/>
          <w:u w:color="212529"/>
          <w:shd w:val="clear" w:color="auto" w:fill="ffffff"/>
          <w:rtl w:val="0"/>
          <w:lang w:val="it-IT"/>
          <w14:textFill>
            <w14:solidFill>
              <w14:srgbClr w14:val="212529"/>
            </w14:solidFill>
          </w14:textFill>
        </w:rPr>
        <w:t>sociale, sviluppo del</w:t>
      </w:r>
      <w:r>
        <w:rPr>
          <w:rFonts w:ascii="Garamond" w:hAnsi="Garamond" w:hint="default"/>
          <w:outline w:val="0"/>
          <w:color w:val="212529"/>
          <w:spacing w:val="5"/>
          <w:sz w:val="28"/>
          <w:szCs w:val="28"/>
          <w:u w:color="212529"/>
          <w:shd w:val="clear" w:color="auto" w:fill="ffffff"/>
          <w:rtl w:val="0"/>
          <w:lang w:val="it-IT"/>
          <w14:textFill>
            <w14:solidFill>
              <w14:srgbClr w14:val="212529"/>
            </w14:solidFill>
          </w14:textFill>
        </w:rPr>
        <w:t> </w:t>
      </w:r>
      <w:r>
        <w:rPr>
          <w:rFonts w:ascii="Garamond" w:hAnsi="Garamond"/>
          <w:b w:val="1"/>
          <w:bCs w:val="1"/>
          <w:outline w:val="0"/>
          <w:color w:val="212529"/>
          <w:spacing w:val="5"/>
          <w:sz w:val="28"/>
          <w:szCs w:val="28"/>
          <w:u w:color="212529"/>
          <w:shd w:val="clear" w:color="auto" w:fill="ffffff"/>
          <w:rtl w:val="0"/>
          <w:lang w:val="it-IT"/>
          <w14:textFill>
            <w14:solidFill>
              <w14:srgbClr w14:val="212529"/>
            </w14:solidFill>
          </w14:textFill>
        </w:rPr>
        <w:t>territorio</w:t>
      </w:r>
      <w:r>
        <w:rPr>
          <w:rFonts w:ascii="Garamond" w:hAnsi="Garamond" w:hint="default"/>
          <w:outline w:val="0"/>
          <w:color w:val="212529"/>
          <w:spacing w:val="5"/>
          <w:sz w:val="28"/>
          <w:szCs w:val="28"/>
          <w:u w:color="212529"/>
          <w:shd w:val="clear" w:color="auto" w:fill="ffffff"/>
          <w:rtl w:val="0"/>
          <w:lang w:val="it-IT"/>
          <w14:textFill>
            <w14:solidFill>
              <w14:srgbClr w14:val="212529"/>
            </w14:solidFill>
          </w14:textFill>
        </w:rPr>
        <w:t> </w:t>
      </w:r>
      <w:r>
        <w:rPr>
          <w:rFonts w:ascii="Garamond" w:hAnsi="Garamond"/>
          <w:b w:val="1"/>
          <w:bCs w:val="1"/>
          <w:outline w:val="0"/>
          <w:color w:val="212529"/>
          <w:spacing w:val="5"/>
          <w:sz w:val="28"/>
          <w:szCs w:val="28"/>
          <w:u w:color="212529"/>
          <w:shd w:val="clear" w:color="auto" w:fill="ffffff"/>
          <w:rtl w:val="0"/>
          <w:lang w:val="it-IT"/>
          <w14:textFill>
            <w14:solidFill>
              <w14:srgbClr w14:val="212529"/>
            </w14:solidFill>
          </w14:textFill>
        </w:rPr>
        <w:t>e ricerca scientifica</w:t>
      </w:r>
      <w:r>
        <w:rPr>
          <w:rFonts w:ascii="Roboto" w:cs="Roboto" w:hAnsi="Roboto" w:eastAsia="Roboto"/>
          <w:outline w:val="0"/>
          <w:color w:val="212529"/>
          <w:spacing w:val="5"/>
          <w:sz w:val="27"/>
          <w:szCs w:val="27"/>
          <w:u w:color="212529"/>
          <w:shd w:val="clear" w:color="auto" w:fill="ffffff"/>
          <w:rtl w:val="0"/>
          <w:lang w:val="it-IT"/>
          <w14:textFill>
            <w14:solidFill>
              <w14:srgbClr w14:val="212529"/>
            </w14:solidFill>
          </w14:textFill>
        </w:rPr>
        <w:t xml:space="preserve">. </w:t>
      </w:r>
    </w:p>
    <w:p>
      <w:pPr>
        <w:pStyle w:val="Normal.0"/>
        <w:spacing w:after="0"/>
        <w:jc w:val="both"/>
        <w:rPr>
          <w:rFonts w:ascii="Roboto" w:cs="Roboto" w:hAnsi="Roboto" w:eastAsia="Roboto"/>
          <w:outline w:val="0"/>
          <w:color w:val="212529"/>
          <w:spacing w:val="5"/>
          <w:sz w:val="27"/>
          <w:szCs w:val="27"/>
          <w:u w:color="212529"/>
          <w:shd w:val="clear" w:color="auto" w:fill="ffffff"/>
          <w14:textFill>
            <w14:solidFill>
              <w14:srgbClr w14:val="212529"/>
            </w14:solidFill>
          </w14:textFill>
        </w:rPr>
      </w:pPr>
    </w:p>
    <w:p>
      <w:pPr>
        <w:pStyle w:val="Normal.0"/>
        <w:spacing w:after="0"/>
        <w:jc w:val="both"/>
        <w:rPr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Fonts w:ascii="Roboto" w:cs="Roboto" w:hAnsi="Roboto" w:eastAsia="Roboto"/>
          <w:outline w:val="0"/>
          <w:color w:val="212529"/>
          <w:spacing w:val="5"/>
          <w:sz w:val="27"/>
          <w:szCs w:val="27"/>
          <w:u w:color="212529"/>
          <w:shd w:val="clear" w:color="auto" w:fill="ffffff"/>
          <w:rtl w:val="0"/>
          <w:lang w:val="it-IT"/>
          <w14:textFill>
            <w14:solidFill>
              <w14:srgbClr w14:val="212529"/>
            </w14:solidFill>
          </w14:textFill>
        </w:rPr>
        <w:t>O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biettivo della fusione vuole essere un</w:t>
      </w:r>
      <w:r>
        <w:rPr>
          <w:rFonts w:ascii="Garamond" w:hAnsi="Garamond" w:hint="default"/>
          <w:b w:val="1"/>
          <w:bCs w:val="1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azione condivisa e finalizzata allo sviluppo delle comunit</w:t>
      </w:r>
      <w:r>
        <w:rPr>
          <w:rFonts w:ascii="Garamond" w:hAnsi="Garamond" w:hint="default"/>
          <w:b w:val="1"/>
          <w:bCs w:val="1"/>
          <w:sz w:val="28"/>
          <w:szCs w:val="28"/>
          <w:rtl w:val="0"/>
          <w:lang w:val="it-IT"/>
        </w:rPr>
        <w:t>à</w:t>
      </w:r>
      <w:r>
        <w:rPr>
          <w:rFonts w:ascii="Garamond" w:hAnsi="Garamond"/>
          <w:sz w:val="28"/>
          <w:szCs w:val="28"/>
          <w:rtl w:val="0"/>
          <w:lang w:val="it-IT"/>
        </w:rPr>
        <w:t>, valorizzando tutte le esperienze positive delle attivit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à 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di entrambe le fondazioni sui rispettivi territori. 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L</w:t>
      </w:r>
      <w:r>
        <w:rPr>
          <w:rFonts w:ascii="Garamond" w:hAnsi="Garamond" w:hint="default"/>
          <w:b w:val="1"/>
          <w:bCs w:val="1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aggregazione</w:t>
      </w:r>
      <w:r>
        <w:rPr>
          <w:rFonts w:ascii="Garamond" w:hAnsi="Garamond"/>
          <w:sz w:val="28"/>
          <w:szCs w:val="28"/>
          <w:rtl w:val="0"/>
          <w:lang w:val="it-IT"/>
        </w:rPr>
        <w:t>, infatti,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 xml:space="preserve"> andr</w:t>
      </w:r>
      <w:r>
        <w:rPr>
          <w:rFonts w:ascii="Garamond" w:hAnsi="Garamond" w:hint="default"/>
          <w:b w:val="1"/>
          <w:bCs w:val="1"/>
          <w:sz w:val="28"/>
          <w:szCs w:val="28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a beneficio delle comunit</w:t>
      </w:r>
      <w:r>
        <w:rPr>
          <w:rFonts w:ascii="Garamond" w:hAnsi="Garamond" w:hint="default"/>
          <w:b w:val="1"/>
          <w:bCs w:val="1"/>
          <w:sz w:val="28"/>
          <w:szCs w:val="28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servite da entrambe le Fondazioni, garantendo la continuit</w:t>
      </w:r>
      <w:r>
        <w:rPr>
          <w:rFonts w:ascii="Garamond" w:hAnsi="Garamond" w:hint="default"/>
          <w:b w:val="1"/>
          <w:bCs w:val="1"/>
          <w:sz w:val="28"/>
          <w:szCs w:val="28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erogativa su entrambi i territori.</w:t>
      </w:r>
    </w:p>
    <w:p>
      <w:pPr>
        <w:pStyle w:val="Normal.0"/>
        <w:spacing w:after="0"/>
        <w:jc w:val="both"/>
        <w:rPr>
          <w:rFonts w:ascii="Garamond" w:cs="Garamond" w:hAnsi="Garamond" w:eastAsia="Garamond"/>
          <w:b w:val="1"/>
          <w:bCs w:val="1"/>
          <w:sz w:val="28"/>
          <w:szCs w:val="28"/>
        </w:rPr>
      </w:pPr>
    </w:p>
    <w:p>
      <w:pPr>
        <w:pStyle w:val="Normal.0"/>
        <w:spacing w:after="0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>Con l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>operazione in corso la Fondazione del Monte intende sia mantenere l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>impegno erogativo annuale sul territorio di proprio radicamento, sia supportare il territorio di originario radicamento della Fondazione Lugo. A seguito della fusione, sar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à </w:t>
      </w:r>
      <w:r>
        <w:rPr>
          <w:rFonts w:ascii="Garamond" w:hAnsi="Garamond"/>
          <w:sz w:val="28"/>
          <w:szCs w:val="28"/>
          <w:rtl w:val="0"/>
          <w:lang w:val="it-IT"/>
        </w:rPr>
        <w:t>modificato lo Statuto della Fondazione del Monte, in relazione in particolare alla governance: si prevede, per esempio, che il Consiglio di Indirizzo sia aumentato di due unit</w:t>
      </w:r>
      <w:r>
        <w:rPr>
          <w:rFonts w:ascii="Garamond" w:hAnsi="Garamond" w:hint="default"/>
          <w:sz w:val="28"/>
          <w:szCs w:val="28"/>
          <w:rtl w:val="0"/>
          <w:lang w:val="it-IT"/>
        </w:rPr>
        <w:t>à</w:t>
      </w:r>
      <w:r>
        <w:rPr>
          <w:rFonts w:ascii="Garamond" w:hAnsi="Garamond"/>
          <w:sz w:val="28"/>
          <w:szCs w:val="28"/>
          <w:rtl w:val="0"/>
          <w:lang w:val="it-IT"/>
        </w:rPr>
        <w:t>, per consentire un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>adeguata rappresentanza del territorio di Lugo.</w:t>
      </w:r>
    </w:p>
    <w:p>
      <w:pPr>
        <w:pStyle w:val="Normal.0"/>
      </w:pPr>
    </w:p>
    <w:p>
      <w:pPr>
        <w:pStyle w:val="Normal.0"/>
        <w:spacing w:after="0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 xml:space="preserve">In un ente di tipo erogativo come le Fondazioni di origine bancaria, che opera come soggetto </w:t>
      </w:r>
      <w:r>
        <w:rPr>
          <w:rFonts w:ascii="Garamond" w:hAnsi="Garamond"/>
          <w:i w:val="1"/>
          <w:iCs w:val="1"/>
          <w:sz w:val="28"/>
          <w:szCs w:val="28"/>
          <w:rtl w:val="0"/>
          <w:lang w:val="it-IT"/>
        </w:rPr>
        <w:t>grant-making</w:t>
      </w:r>
      <w:r>
        <w:rPr>
          <w:rFonts w:ascii="Garamond" w:hAnsi="Garamond"/>
          <w:sz w:val="28"/>
          <w:szCs w:val="28"/>
          <w:rtl w:val="0"/>
          <w:lang w:val="it-IT"/>
        </w:rPr>
        <w:t>, l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adeguatezza del patrimonio ha evidenti riflessi sul concreto raggiungimento degli scopi statutari. 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È </w:t>
      </w:r>
      <w:r>
        <w:rPr>
          <w:rFonts w:ascii="Garamond" w:hAnsi="Garamond"/>
          <w:sz w:val="28"/>
          <w:szCs w:val="28"/>
          <w:rtl w:val="0"/>
          <w:lang w:val="it-IT"/>
        </w:rPr>
        <w:t>proprio per valorizzare e sostenere l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azione delle Fondazioni nel territorio di riferimento, che 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il Protocollo di intesa del 22 aprile 2015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 tra il Ministero dell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>Economia e delle Finanze e l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ACRI (Associazione di Fondazioni e Casse di Risparmio) auspica forme di collaborazione o integrazione tra Fondazioni di origine bancaria. In particolare, 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con riferimento a Fondazioni che per le loro ridotte dimensioni patrimoniali non riescono a raggiungere una capacit</w:t>
      </w:r>
      <w:r>
        <w:rPr>
          <w:rFonts w:ascii="Garamond" w:hAnsi="Garamond" w:hint="default"/>
          <w:b w:val="1"/>
          <w:bCs w:val="1"/>
          <w:sz w:val="28"/>
          <w:szCs w:val="28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erogativa adeguata, suggerisce l</w:t>
      </w:r>
      <w:r>
        <w:rPr>
          <w:rFonts w:ascii="Garamond" w:hAnsi="Garamond" w:hint="default"/>
          <w:b w:val="1"/>
          <w:bCs w:val="1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integrazione tramite operazioni di fusione con altre Fondazioni</w:t>
      </w:r>
      <w:r>
        <w:rPr>
          <w:rFonts w:ascii="Garamond" w:hAnsi="Garamond"/>
          <w:sz w:val="28"/>
          <w:szCs w:val="28"/>
          <w:rtl w:val="0"/>
          <w:lang w:val="it-IT"/>
        </w:rPr>
        <w:t>.</w:t>
      </w:r>
    </w:p>
    <w:p>
      <w:pPr>
        <w:pStyle w:val="Normal.0"/>
        <w:spacing w:after="0"/>
        <w:jc w:val="both"/>
        <w:rPr>
          <w:rFonts w:ascii="Garamond" w:cs="Garamond" w:hAnsi="Garamond" w:eastAsia="Garamond"/>
          <w:sz w:val="28"/>
          <w:szCs w:val="28"/>
        </w:rPr>
      </w:pPr>
    </w:p>
    <w:p>
      <w:pPr>
        <w:pStyle w:val="Normal.0"/>
        <w:spacing w:after="0"/>
        <w:jc w:val="both"/>
        <w:rPr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Style w:val="Hyperlink.0"/>
          <w:rFonts w:ascii="Garamond" w:cs="Garamond" w:hAnsi="Garamond" w:eastAsia="Garamond"/>
          <w:b w:val="1"/>
          <w:bCs w:val="1"/>
          <w:sz w:val="28"/>
          <w:szCs w:val="28"/>
        </w:rPr>
        <w:fldChar w:fldCharType="begin" w:fldLock="0"/>
      </w:r>
      <w:r>
        <w:rPr>
          <w:rStyle w:val="Hyperlink.0"/>
          <w:rFonts w:ascii="Garamond" w:cs="Garamond" w:hAnsi="Garamond" w:eastAsia="Garamond"/>
          <w:b w:val="1"/>
          <w:bCs w:val="1"/>
          <w:sz w:val="28"/>
          <w:szCs w:val="28"/>
        </w:rPr>
        <w:instrText xml:space="preserve"> HYPERLINK "https://drive.google.com/drive/folders/1-EmPWRFMfR5m7uDZsFOz0WmGYrJh4woK"</w:instrText>
      </w:r>
      <w:r>
        <w:rPr>
          <w:rStyle w:val="Hyperlink.0"/>
          <w:rFonts w:ascii="Garamond" w:cs="Garamond" w:hAnsi="Garamond" w:eastAsia="Garamond"/>
          <w:b w:val="1"/>
          <w:bCs w:val="1"/>
          <w:sz w:val="28"/>
          <w:szCs w:val="28"/>
        </w:rPr>
        <w:fldChar w:fldCharType="separate" w:fldLock="0"/>
      </w:r>
      <w:r>
        <w:rPr>
          <w:rStyle w:val="Hyperlink.0"/>
          <w:rFonts w:ascii="Garamond" w:hAnsi="Garamond"/>
          <w:b w:val="1"/>
          <w:bCs w:val="1"/>
          <w:sz w:val="28"/>
          <w:szCs w:val="28"/>
          <w:rtl w:val="0"/>
          <w:lang w:val="it-IT"/>
        </w:rPr>
        <w:t xml:space="preserve">SCARICA IL MEDIA KIT </w:t>
      </w:r>
      <w:r>
        <w:rPr>
          <w:rFonts w:ascii="Garamond" w:cs="Garamond" w:hAnsi="Garamond" w:eastAsia="Garamond"/>
          <w:b w:val="1"/>
          <w:bCs w:val="1"/>
          <w:sz w:val="28"/>
          <w:szCs w:val="28"/>
        </w:rPr>
        <w:fldChar w:fldCharType="end" w:fldLock="0"/>
      </w:r>
    </w:p>
    <w:p>
      <w:pPr>
        <w:pStyle w:val="Normal.0"/>
        <w:spacing w:after="0"/>
        <w:jc w:val="both"/>
        <w:rPr>
          <w:rFonts w:ascii="Garamond" w:cs="Garamond" w:hAnsi="Garamond" w:eastAsia="Garamond"/>
          <w:i w:val="1"/>
          <w:iCs w:val="1"/>
          <w:sz w:val="24"/>
          <w:szCs w:val="24"/>
        </w:rPr>
      </w:pPr>
    </w:p>
    <w:p>
      <w:pPr>
        <w:pStyle w:val="Normal.0"/>
        <w:spacing w:after="0"/>
        <w:jc w:val="both"/>
        <w:rPr>
          <w:rFonts w:ascii="Garamond" w:cs="Garamond" w:hAnsi="Garamond" w:eastAsia="Garamond"/>
          <w:i w:val="1"/>
          <w:iCs w:val="1"/>
          <w:sz w:val="24"/>
          <w:szCs w:val="24"/>
        </w:rPr>
      </w:pPr>
      <w:r>
        <w:rPr>
          <w:rFonts w:ascii="Garamond" w:hAnsi="Garamond"/>
          <w:i w:val="1"/>
          <w:iCs w:val="1"/>
          <w:sz w:val="24"/>
          <w:szCs w:val="24"/>
          <w:rtl w:val="0"/>
          <w:lang w:val="it-IT"/>
        </w:rPr>
        <w:t>Luca Orsi</w:t>
      </w:r>
    </w:p>
    <w:p>
      <w:pPr>
        <w:pStyle w:val="Normal.0"/>
        <w:spacing w:after="0"/>
        <w:jc w:val="both"/>
        <w:rPr>
          <w:rFonts w:ascii="Garamond" w:cs="Garamond" w:hAnsi="Garamond" w:eastAsia="Garamond"/>
          <w:i w:val="1"/>
          <w:iCs w:val="1"/>
          <w:sz w:val="24"/>
          <w:szCs w:val="24"/>
        </w:rPr>
      </w:pPr>
      <w:r>
        <w:rPr>
          <w:rFonts w:ascii="Garamond" w:hAnsi="Garamond"/>
          <w:i w:val="1"/>
          <w:iCs w:val="1"/>
          <w:sz w:val="24"/>
          <w:szCs w:val="24"/>
          <w:rtl w:val="0"/>
          <w:lang w:val="it-IT"/>
        </w:rPr>
        <w:t>Ufficio stampa Fondazione del Monte</w:t>
      </w:r>
    </w:p>
    <w:p>
      <w:pPr>
        <w:pStyle w:val="Normal.0"/>
        <w:spacing w:after="0"/>
        <w:jc w:val="both"/>
        <w:rPr>
          <w:rFonts w:ascii="Garamond" w:cs="Garamond" w:hAnsi="Garamond" w:eastAsia="Garamond"/>
          <w:i w:val="1"/>
          <w:iCs w:val="1"/>
          <w:sz w:val="24"/>
          <w:szCs w:val="24"/>
        </w:rPr>
      </w:pPr>
      <w:r>
        <w:rPr>
          <w:rFonts w:ascii="Garamond" w:hAnsi="Garamond"/>
          <w:i w:val="1"/>
          <w:iCs w:val="1"/>
          <w:sz w:val="24"/>
          <w:szCs w:val="24"/>
          <w:rtl w:val="0"/>
          <w:lang w:val="it-IT"/>
        </w:rPr>
        <w:t>3341125362</w:t>
      </w:r>
    </w:p>
    <w:p>
      <w:pPr>
        <w:pStyle w:val="Normal.0"/>
        <w:spacing w:after="0"/>
        <w:jc w:val="both"/>
      </w:pPr>
      <w:r>
        <w:rPr>
          <w:rFonts w:ascii="Garamond" w:hAnsi="Garamond"/>
          <w:i w:val="1"/>
          <w:iCs w:val="1"/>
          <w:sz w:val="24"/>
          <w:szCs w:val="24"/>
          <w:rtl w:val="0"/>
          <w:lang w:val="it-IT"/>
        </w:rPr>
        <w:t>www.fondazionedelmonte.it</w:t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  <w:font w:name="Garamond">
    <w:charset w:val="00"/>
    <w:family w:val="roman"/>
    <w:pitch w:val="default"/>
  </w:font>
  <w:font w:name="Robo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467886"/>
      <w:u w:val="single" w:color="467886"/>
      <w14:textFill>
        <w14:solidFill>
          <w14:srgbClr w14:val="46788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